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spacing w:before="0" w:beforeAutospacing="0" w:after="0" w:afterAutospacing="0" w:line="276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ОБЪЯВЛЕНИЕ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</w:r>
      <w:r/>
    </w:p>
    <w:p>
      <w:pPr>
        <w:ind w:left="0" w:right="0" w:firstLine="0"/>
        <w:jc w:val="center"/>
        <w:spacing w:before="0" w:beforeAutospacing="0" w:after="0" w:afterAutospacing="0" w:line="276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об отборе получателей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субсидии на достижение показателей государственной программы Российской Федерации «Развитие туризма»</w:t>
      </w:r>
      <w:r/>
    </w:p>
    <w:p>
      <w:pPr>
        <w:ind w:left="0" w:right="0" w:firstLine="0"/>
        <w:jc w:val="center"/>
        <w:spacing w:before="0" w:beforeAutospacing="0" w:after="0" w:afterAutospacing="0" w:line="276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(иные бюджетные ассигнования (субсидии юридическим лицам(кроме некоммерческих организаций), индивидуальным предпринимателям, физическим лицам – производителям товаров,работ, услуг)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</w:r>
      <w:r/>
    </w:p>
    <w:p>
      <w:pPr>
        <w:ind w:left="0" w:right="0" w:firstLine="709"/>
        <w:jc w:val="center"/>
        <w:spacing w:before="0" w:beforeAutospacing="0" w:after="0" w:afterAutospacing="0" w:line="276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</w:r>
      <w:r/>
    </w:p>
    <w:p>
      <w:pPr>
        <w:ind w:left="709" w:right="0" w:firstLine="0"/>
        <w:spacing w:before="0" w:beforeAutospacing="0" w:after="0" w:afterAutospacing="0" w:line="276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1.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Основная информация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</w:r>
      <w:r/>
    </w:p>
    <w:p>
      <w:pPr>
        <w:ind w:left="0" w:right="0" w:firstLine="709"/>
        <w:spacing w:before="0" w:beforeAutospacing="0" w:after="0" w:afterAutospacing="0" w:line="276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1.1. Наименование отбора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Отбор получателей субсидии на д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остижение показателей государственной программы Российской Федерации «Развитие туризма»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(иные бюджетные ассигнования (субсидии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услуг)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1.2. Способ отбора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конкурс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1.3. Организатор отбора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ДЕПАРТАМЕНТ ПРОМЫШЛЕННОСТИ ХАНТЫ-МАНСИЙСКОГО АВТОНОМНОГО ОКРУГА - ЮГРЫ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rPr>
          <w:rFonts w:ascii="Times New Roman" w:hAnsi="Times New Roman" w:cs="Times New Roman"/>
          <w:color w:val="auto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Почтовый адрес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628011, ХАНТЫ-МАНСИЙСКИЙ АВТОНОМНЫЙ ОКРУГ - ЮГРА АВТОНОМНЫЙ, ГОРОД ХАНТЫ-МАНСИЙСК, УЛИЦА РОЗНИНА, Д. 64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rPr>
          <w:rFonts w:ascii="Times New Roman" w:hAnsi="Times New Roman" w:cs="Times New Roman"/>
          <w:color w:val="auto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Адрес электронной почты depprom@admhmao.ru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Контактные телефоны: Лапшина Ольга Сергеевна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8-3467-35-34-04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(3814); Ниязова Гузэль Исламовна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8-3467-35-34-04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(3817);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 Рощупкина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Ирина Владимировна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8-3467-35-34-04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(3819)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1.4.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 Срок приема заявок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19.08.2024 09:00 -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08.09.2024 23:29 (МСК)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1.5. Срок рассмотрения заявок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09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.09.2024 - 15.09.2024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1.6. Срок оценки заявок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13.09.2024 - 16.09.2024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1.7. Срок объявления победителей отбора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</w:r>
      <w:r/>
    </w:p>
    <w:p>
      <w:pPr>
        <w:ind w:left="0" w:right="0" w:firstLine="709"/>
        <w:spacing w:before="0" w:beforeAutospacing="0" w:after="0" w:afterAutospacing="0" w:line="276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В течение 1 дня после оценки заявок.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/>
    </w:p>
    <w:p>
      <w:pPr>
        <w:ind w:left="0" w:right="0" w:firstLine="709"/>
        <w:spacing w:before="0" w:beforeAutospacing="0" w:after="0" w:afterAutospacing="0" w:line="276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1.8. Срок заключения соглашения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rPr>
          <w:rFonts w:ascii="Times New Roman" w:hAnsi="Times New Roman" w:cs="Times New Roman"/>
          <w:color w:val="auto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В течение 11 дней со дня размещения результатов отбора.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1.9. Условия признания победителя отбора уклонившимся от закл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ючения соглашения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14:ligatures w14:val="none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zh-CN"/>
        </w:rPr>
        <w:t xml:space="preserve">Победитель отбора не подписал соглашение о предоставлении субсидии и не направил возражения в течение 2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zh-CN"/>
        </w:rPr>
        <w:t xml:space="preserve">рабочих дней со дня его поступления на подписание в государственную интегрированную информационную</w:t>
      </w:r>
      <w: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zh-CN"/>
        </w:rPr>
        <w:t xml:space="preserve">систему управления общественными финансами «Электронный бюджет».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zh-CN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1.10. Необходимо привлечение софинансирования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14:ligatures w14:val="none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Не менее 20 %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14:ligatures w14:val="none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1.11. Результаты предоставления субсидии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14:ligatures w14:val="none"/>
        </w:rPr>
      </w:r>
      <w:r/>
    </w:p>
    <w:tbl>
      <w:tblPr>
        <w:tblStyle w:val="895"/>
        <w:tblW w:w="0" w:type="auto"/>
        <w:tblLayout w:type="fixed"/>
        <w:tblLook w:val="04A0" w:firstRow="1" w:lastRow="0" w:firstColumn="1" w:lastColumn="0" w:noHBand="0" w:noVBand="1"/>
      </w:tblPr>
      <w:tblGrid>
        <w:gridCol w:w="958"/>
        <w:gridCol w:w="2756"/>
        <w:gridCol w:w="1857"/>
        <w:gridCol w:w="1857"/>
        <w:gridCol w:w="1857"/>
      </w:tblGrid>
      <w:tr>
        <w:trPr/>
        <w:tc>
          <w:tcPr>
            <w:tcW w:w="958" w:type="dxa"/>
            <w:textDirection w:val="lrTb"/>
            <w:noWrap w:val="false"/>
          </w:tcPr>
          <w:p>
            <w:pPr>
              <w:jc w:val="both"/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auto"/>
                <w:sz w:val="26"/>
                <w:szCs w:val="26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highlight w:val="none"/>
              </w:rPr>
            </w:r>
            <w:r>
              <w:rPr>
                <w:sz w:val="26"/>
                <w:szCs w:val="26"/>
              </w:rPr>
            </w:r>
            <w:r/>
          </w:p>
        </w:tc>
        <w:tc>
          <w:tcPr>
            <w:tcW w:w="2756" w:type="dxa"/>
            <w:textDirection w:val="lrTb"/>
            <w:noWrap w:val="false"/>
          </w:tcPr>
          <w:p>
            <w:pPr>
              <w:jc w:val="both"/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auto"/>
                <w:sz w:val="26"/>
                <w:szCs w:val="26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highlight w:val="none"/>
              </w:rPr>
            </w:r>
            <w:r>
              <w:rPr>
                <w:sz w:val="26"/>
                <w:szCs w:val="26"/>
              </w:rPr>
            </w:r>
            <w:r/>
          </w:p>
        </w:tc>
        <w:tc>
          <w:tcPr>
            <w:gridSpan w:val="2"/>
            <w:tcW w:w="3715" w:type="dxa"/>
            <w:textDirection w:val="lrTb"/>
            <w:noWrap w:val="false"/>
          </w:tcPr>
          <w:p>
            <w:pPr>
              <w:jc w:val="both"/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auto"/>
                <w:sz w:val="26"/>
                <w:szCs w:val="26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  <w:highlight w:val="none"/>
              </w:rPr>
              <w:t xml:space="preserve">Единица измерения по ОКЕИ</w:t>
            </w:r>
            <w:r>
              <w:rPr>
                <w:sz w:val="26"/>
                <w:szCs w:val="26"/>
              </w:rPr>
            </w:r>
            <w:r/>
          </w:p>
        </w:tc>
        <w:tc>
          <w:tcPr>
            <w:tcW w:w="1857" w:type="dxa"/>
            <w:textDirection w:val="lrTb"/>
            <w:noWrap w:val="false"/>
          </w:tcPr>
          <w:p>
            <w:pPr>
              <w:jc w:val="both"/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auto"/>
                <w:sz w:val="26"/>
                <w:szCs w:val="26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highlight w:val="none"/>
              </w:rPr>
            </w:r>
            <w:r>
              <w:rPr>
                <w:sz w:val="26"/>
                <w:szCs w:val="26"/>
              </w:rPr>
            </w:r>
            <w:r/>
          </w:p>
        </w:tc>
      </w:tr>
      <w:tr>
        <w:trPr/>
        <w:tc>
          <w:tcPr>
            <w:tcW w:w="958" w:type="dxa"/>
            <w:textDirection w:val="lrTb"/>
            <w:noWrap w:val="false"/>
          </w:tcPr>
          <w:p>
            <w:pPr>
              <w:jc w:val="both"/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auto"/>
                <w:sz w:val="26"/>
                <w:szCs w:val="26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highlight w:val="none"/>
              </w:rPr>
              <w:t xml:space="preserve">№</w:t>
            </w:r>
            <w:r>
              <w:rPr>
                <w:sz w:val="26"/>
                <w:szCs w:val="26"/>
              </w:rPr>
            </w:r>
            <w:r/>
          </w:p>
        </w:tc>
        <w:tc>
          <w:tcPr>
            <w:tcW w:w="2756" w:type="dxa"/>
            <w:textDirection w:val="lrTb"/>
            <w:noWrap w:val="false"/>
          </w:tcPr>
          <w:p>
            <w:pPr>
              <w:jc w:val="both"/>
              <w:spacing w:before="0" w:beforeAutospacing="0" w:after="0" w:afterAutospacing="0" w:line="276" w:lineRule="auto"/>
              <w:rPr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highlight w:val="none"/>
              </w:rPr>
              <w:t xml:space="preserve">Наименование</w:t>
            </w:r>
            <w:r>
              <w:rPr>
                <w:sz w:val="26"/>
                <w:szCs w:val="26"/>
              </w:rPr>
            </w:r>
            <w:r/>
          </w:p>
          <w:p>
            <w:pPr>
              <w:jc w:val="both"/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auto"/>
                <w:sz w:val="26"/>
                <w:szCs w:val="26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highlight w:val="none"/>
              </w:rPr>
              <w:t xml:space="preserve">результата</w:t>
            </w:r>
            <w:r>
              <w:rPr>
                <w:sz w:val="26"/>
                <w:szCs w:val="26"/>
              </w:rPr>
            </w:r>
            <w:r/>
          </w:p>
        </w:tc>
        <w:tc>
          <w:tcPr>
            <w:tcW w:w="1857" w:type="dxa"/>
            <w:textDirection w:val="lrTb"/>
            <w:noWrap w:val="false"/>
          </w:tcPr>
          <w:p>
            <w:pPr>
              <w:jc w:val="both"/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auto"/>
                <w:sz w:val="26"/>
                <w:szCs w:val="26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  <w:highlight w:val="none"/>
              </w:rPr>
              <w:t xml:space="preserve">Наименование</w:t>
            </w:r>
            <w:r>
              <w:rPr>
                <w:sz w:val="26"/>
                <w:szCs w:val="26"/>
              </w:rPr>
            </w:r>
            <w:r/>
          </w:p>
        </w:tc>
        <w:tc>
          <w:tcPr>
            <w:tcW w:w="1857" w:type="dxa"/>
            <w:textDirection w:val="lrTb"/>
            <w:noWrap w:val="false"/>
          </w:tcPr>
          <w:p>
            <w:pPr>
              <w:jc w:val="both"/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auto"/>
                <w:sz w:val="26"/>
                <w:szCs w:val="26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  <w:highlight w:val="none"/>
              </w:rPr>
              <w:t xml:space="preserve">Код</w:t>
            </w:r>
            <w:r>
              <w:rPr>
                <w:sz w:val="26"/>
                <w:szCs w:val="26"/>
              </w:rPr>
            </w:r>
            <w:r/>
          </w:p>
        </w:tc>
        <w:tc>
          <w:tcPr>
            <w:tcW w:w="1857" w:type="dxa"/>
            <w:textDirection w:val="lrTb"/>
            <w:noWrap w:val="false"/>
          </w:tcPr>
          <w:p>
            <w:pPr>
              <w:jc w:val="both"/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auto"/>
                <w:sz w:val="26"/>
                <w:szCs w:val="26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  <w:highlight w:val="none"/>
              </w:rPr>
              <w:t xml:space="preserve">Срок достижения</w:t>
            </w:r>
            <w:r>
              <w:rPr>
                <w:sz w:val="26"/>
                <w:szCs w:val="26"/>
              </w:rPr>
            </w:r>
            <w:r/>
          </w:p>
        </w:tc>
      </w:tr>
      <w:tr>
        <w:trPr/>
        <w:tc>
          <w:tcPr>
            <w:tcW w:w="958" w:type="dxa"/>
            <w:textDirection w:val="lrTb"/>
            <w:noWrap w:val="false"/>
          </w:tcPr>
          <w:p>
            <w:pPr>
              <w:jc w:val="both"/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auto"/>
                <w:sz w:val="26"/>
                <w:szCs w:val="26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highlight w:val="none"/>
              </w:rPr>
              <w:t xml:space="preserve">1</w:t>
            </w:r>
            <w:r>
              <w:rPr>
                <w:sz w:val="26"/>
                <w:szCs w:val="26"/>
              </w:rPr>
            </w:r>
            <w:r/>
          </w:p>
        </w:tc>
        <w:tc>
          <w:tcPr>
            <w:tcW w:w="2756" w:type="dxa"/>
            <w:textDirection w:val="lrTb"/>
            <w:noWrap w:val="false"/>
          </w:tcPr>
          <w:p>
            <w:pPr>
              <w:jc w:val="both"/>
              <w:spacing w:before="0" w:beforeAutospacing="0" w:after="0" w:afterAutospacing="0" w:line="276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highlight w:val="none"/>
              </w:rPr>
              <w:t xml:space="preserve">Число туристских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  <w:highlight w:val="none"/>
              </w:rPr>
              <w:t xml:space="preserve">поездок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  <w:highlight w:val="none"/>
              </w:rPr>
            </w:r>
            <w:r/>
          </w:p>
        </w:tc>
        <w:tc>
          <w:tcPr>
            <w:tcW w:w="1857" w:type="dxa"/>
            <w:textDirection w:val="lrTb"/>
            <w:noWrap w:val="false"/>
          </w:tcPr>
          <w:p>
            <w:pPr>
              <w:jc w:val="both"/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auto"/>
                <w:sz w:val="26"/>
                <w:szCs w:val="26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  <w:highlight w:val="none"/>
              </w:rPr>
              <w:t xml:space="preserve">Человек </w:t>
            </w:r>
            <w:r>
              <w:rPr>
                <w:sz w:val="26"/>
                <w:szCs w:val="26"/>
              </w:rPr>
            </w:r>
            <w:r/>
          </w:p>
        </w:tc>
        <w:tc>
          <w:tcPr>
            <w:tcW w:w="1857" w:type="dxa"/>
            <w:textDirection w:val="lrTb"/>
            <w:noWrap w:val="false"/>
          </w:tcPr>
          <w:p>
            <w:pPr>
              <w:jc w:val="both"/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auto"/>
                <w:sz w:val="26"/>
                <w:szCs w:val="26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highlight w:val="none"/>
              </w:rPr>
              <w:t xml:space="preserve">792</w:t>
            </w:r>
            <w:r>
              <w:rPr>
                <w:sz w:val="26"/>
                <w:szCs w:val="26"/>
              </w:rPr>
            </w:r>
            <w:r/>
          </w:p>
        </w:tc>
        <w:tc>
          <w:tcPr>
            <w:tcW w:w="1857" w:type="dxa"/>
            <w:textDirection w:val="lrTb"/>
            <w:noWrap w:val="false"/>
          </w:tcPr>
          <w:p>
            <w:pPr>
              <w:jc w:val="both"/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auto"/>
                <w:sz w:val="26"/>
                <w:szCs w:val="26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  <w:highlight w:val="none"/>
              </w:rPr>
              <w:t xml:space="preserve">31.12.2024</w:t>
            </w:r>
            <w:r>
              <w:rPr>
                <w:sz w:val="26"/>
                <w:szCs w:val="26"/>
              </w:rPr>
            </w:r>
            <w:r/>
          </w:p>
        </w:tc>
      </w:tr>
    </w:tbl>
    <w:p>
      <w:pPr>
        <w:ind w:left="0" w:right="0" w:firstLine="709"/>
        <w:jc w:val="both"/>
        <w:spacing w:before="0" w:beforeAutospacing="0" w:after="0" w:afterAutospacing="0" w:line="276" w:lineRule="auto"/>
        <w:rPr>
          <w:rFonts w:ascii="Times New Roman" w:hAnsi="Times New Roman" w:cs="Times New Roman"/>
          <w:color w:val="auto"/>
          <w:sz w:val="28"/>
          <w:szCs w:val="28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1.12.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Дополнительные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 материалы по результатам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О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тсутствуют.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1.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13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.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Распределение средств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</w:r>
      <w:r/>
    </w:p>
    <w:p>
      <w:pPr>
        <w:ind w:left="0" w:right="0" w:firstLine="709"/>
        <w:spacing w:before="0" w:beforeAutospacing="0" w:after="0" w:afterAutospacing="0" w:line="276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Объем распределяемых средств в текущем отборе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</w:r>
      <w:r/>
    </w:p>
    <w:tbl>
      <w:tblPr>
        <w:tblStyle w:val="895"/>
        <w:tblW w:w="0" w:type="auto"/>
        <w:tblLook w:val="04A0" w:firstRow="1" w:lastRow="0" w:firstColumn="1" w:lastColumn="0" w:noHBand="0" w:noVBand="1"/>
      </w:tblPr>
      <w:tblGrid>
        <w:gridCol w:w="4677"/>
        <w:gridCol w:w="4677"/>
      </w:tblGrid>
      <w:tr>
        <w:trPr/>
        <w:tc>
          <w:tcPr>
            <w:tcW w:w="4677" w:type="dxa"/>
            <w:textDirection w:val="lrTb"/>
            <w:noWrap w:val="false"/>
          </w:tcPr>
          <w:p>
            <w:pPr>
              <w:ind w:left="0" w:right="0" w:firstLine="709"/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auto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  <w:t xml:space="preserve">Год предоставления средств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</w:r>
            <w:r/>
          </w:p>
        </w:tc>
        <w:tc>
          <w:tcPr>
            <w:tcW w:w="4677" w:type="dxa"/>
            <w:textDirection w:val="lrTb"/>
            <w:noWrap w:val="false"/>
          </w:tcPr>
          <w:p>
            <w:pPr>
              <w:ind w:left="0" w:right="0" w:firstLine="709"/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auto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  <w:t xml:space="preserve">Сумма,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  <w:t xml:space="preserve"> ₽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</w:r>
            <w:r/>
          </w:p>
        </w:tc>
      </w:tr>
      <w:tr>
        <w:trPr/>
        <w:tc>
          <w:tcPr>
            <w:tcW w:w="4677" w:type="dxa"/>
            <w:textDirection w:val="lrTb"/>
            <w:noWrap w:val="false"/>
          </w:tcPr>
          <w:p>
            <w:pPr>
              <w:ind w:left="0" w:right="0" w:firstLine="709"/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auto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  <w:t xml:space="preserve">2024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</w:r>
            <w:r/>
          </w:p>
        </w:tc>
        <w:tc>
          <w:tcPr>
            <w:tcW w:w="4677" w:type="dxa"/>
            <w:textDirection w:val="lrTb"/>
            <w:noWrap w:val="false"/>
          </w:tcPr>
          <w:p>
            <w:pPr>
              <w:ind w:left="0" w:right="0" w:firstLine="709"/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auto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  <w:t xml:space="preserve">76 923 100,00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</w:r>
            <w:r/>
          </w:p>
        </w:tc>
      </w:tr>
    </w:tbl>
    <w:p>
      <w:pPr>
        <w:ind w:left="0" w:right="0" w:firstLine="709"/>
        <w:jc w:val="both"/>
        <w:spacing w:before="0" w:beforeAutospacing="0" w:after="0" w:afterAutospacing="0" w:line="276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Предельный размер субсидии для одного получателя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14:ligatures w14:val="none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20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 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000 000,00 ₽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14:ligatures w14:val="none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1.14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. Количество победителей отбора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14:ligatures w14:val="none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rPr>
          <w:rFonts w:ascii="Times New Roman" w:hAnsi="Times New Roman" w:cs="Times New Roman"/>
          <w:color w:val="auto"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Не установлено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14:ligatures w14:val="none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rPr>
          <w:rFonts w:ascii="Times New Roman" w:hAnsi="Times New Roman" w:cs="Times New Roman"/>
          <w:color w:val="auto"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  <w14:ligatures w14:val="none"/>
        </w:rPr>
        <w:t xml:space="preserve">1.15. Период реализации проектов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14:ligatures w14:val="none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rPr>
          <w:rFonts w:ascii="Times New Roman" w:hAnsi="Times New Roman" w:cs="Times New Roman"/>
          <w:color w:val="auto"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  <w14:ligatures w14:val="none"/>
        </w:rPr>
        <w:t xml:space="preserve">Дата начала: 19.09.2024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14:ligatures w14:val="none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  <w14:ligatures w14:val="none"/>
        </w:rPr>
        <w:t xml:space="preserve">Дата окончания: 09.12.2024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14:ligatures w14:val="none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2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.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Порядок проведения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14:ligatures w14:val="none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2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.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1. Порядок подачи заявок и требования к их содержанию и форме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14:ligatures w14:val="none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Заявки формируются в электронной форме и подписываются: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- усиленной квалифицированной электронной подписью руководителя участника отбора или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уполномоченного им лица (на основании доверенности) для участников отбора юридических лиц и</w:t>
      </w:r>
      <w: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индивидуальных предпринимателей;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rPr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-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простой электронной подписью подтвержденной учетной записи физического лица в федеральной</w:t>
      </w:r>
      <w: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государственной информационной системе «Единая система идентификации и аутентификации в</w:t>
      </w:r>
      <w: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инфраструктуре, обеспечивающей информационно-технологическое взаимодействие информационных</w:t>
      </w:r>
      <w: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систем, используемых для предоставления государственных и муниципальных услуг в электронной форме»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либо усиленной квалифицированной электронной подписью (при наличии) для участников отбора</w:t>
      </w:r>
      <w: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физических лиц.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Заявки формируются заявителем в электронной форме посредством заполнения соответствующих экранных форм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веб-интерфейса системы «Электронный бюджет» и представления в систему «Электронный бюджет» электронных</w:t>
      </w:r>
      <w: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копий документов (документов на бумажном носителе, преобразованных в электронную форму путем</w:t>
      </w:r>
      <w: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сканирования), материалов и презентация проекта, представление которых предусмотрено в объявлении о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проведении отбора.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Заявка подписывается усиленной квалифицированной электронной подписью руководителя заявителя или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уполномоченного им лица (для юридических лиц и индивидуальных предпринимателей).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Ответственность за полноту и достоверность информации и документов, содержащихся в заявке, а также за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своевременность их представления несет заявитель в соответствии с законодательством Российской Федерации.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Электронные копии документов, материалы и презентация проекта, включаемые в заявку, должны иметь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распространенные открытые форматы, обеспечивающие возможность просмотра всего документа либо его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фрагмента средствами общедоступного программного обеспечения просмотра информации, и не должны быть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зашифрованы или защищены средствами, не позволяющими осуществить ознакомление с их содержимым без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специальных программных или технологических средств.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Фотоматериалы, включаемые в презентацию проекта, должны содержать четкое и контрастное изображение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высокого качества. Датой и временем представления участником отбора заявки считаются дата и время подписания</w:t>
      </w:r>
      <w: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заявителем указанной заявки с присвоением ей регистрационного номера в системе «Электронный бюджет».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rPr>
          <w:rFonts w:ascii="Times New Roman" w:hAnsi="Times New Roman" w:cs="Times New Roman"/>
          <w:color w:val="auto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2.2.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Порядок отзыва заявок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rPr>
          <w:rFonts w:ascii="Times New Roman" w:hAnsi="Times New Roman" w:cs="Times New Roman"/>
          <w:color w:val="auto"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Отзыв заявок возможен до окончания срока приема заявок.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rPr>
          <w:rFonts w:ascii="Times New Roman" w:hAnsi="Times New Roman" w:cs="Times New Roman"/>
          <w:color w:val="auto"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Отзыв заявки осуществляется посредством формирования в электронной форме уведомления об отзыве заявки,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которое подписывается: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14:ligatures w14:val="none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rPr>
          <w:rFonts w:ascii="Times New Roman" w:hAnsi="Times New Roman" w:cs="Times New Roman"/>
          <w:color w:val="auto"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- усиленной квалифицированной электронной подписью руководителя участника отбора или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уполномоченного им лица (на основании доверенности) для участников отбора юридических лиц и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индивидуальных предпринимателей;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14:ligatures w14:val="none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rPr>
          <w:rFonts w:ascii="Times New Roman" w:hAnsi="Times New Roman" w:cs="Times New Roman"/>
          <w:color w:val="auto"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-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простой электронной подписью подтвержденной учетной записи физического лица в федеральной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государственной информационной системе «Единая система идентификации и аутентификации в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инфраструктуре, обеспечивающей информационно-технологическое взаимодействие информационных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систем, используемых для предоставления государственных и муниципальных услуг в электронной форме»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либо усиленной квалифицированной электронной подписью (при наличии) для участников отбора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физических лиц.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14:ligatures w14:val="none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rPr>
          <w:rFonts w:ascii="Times New Roman" w:hAnsi="Times New Roman" w:cs="Times New Roman"/>
          <w:color w:val="auto"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Отзыв заявки возможен до даты окончания приема заявок.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rPr>
          <w:rFonts w:ascii="Times New Roman" w:hAnsi="Times New Roman" w:cs="Times New Roman"/>
          <w:color w:val="auto"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Заявитель вправе отозвать поданную заявку после формирования заявителем в электронной форме уведомления об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отзыве заявки.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14:ligatures w14:val="none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rPr>
          <w:rFonts w:ascii="Times New Roman" w:hAnsi="Times New Roman" w:cs="Times New Roman"/>
          <w:color w:val="auto"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Уведомление об отзыве заявки подписывается усиленной квалифицированной электронной подписью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руководителя заявителя или уполномоченного им лица (для юридических лиц и индивидуальных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предпринимателей).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14:ligatures w14:val="none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2.3. Порядок внесения изменения в заявк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и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До окончания срока приема заявок после формирования заявителем в электронной форме уведомления об отзыве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заявки и последующего повторного формирования новой.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Заявитель вправе внести изменения заявку до даты окончания приема заявок после формирования заявителем в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электронной форме в системе «Электронный бюджет» уведомления об отзыве заявки и последующего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формирования новой заявки.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2.4. Порядок рассмотрения заявок на предмет их соответствия установленным требованиям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Комиссия по отбору заявок (далее – Комиссия) не позднее 1 рабочего дня, следующего за днем вскрытия заявок,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установленного в объявлении о проведении отбора, утверждает протокол вскрытия заявок, содержащий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следующую информацию о поступивших для участия в отборе заявках: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а) регистрационный номер заявки;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б) дата и время поступления заявки;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в) полное и сокращенное наименование заявителя;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г) адрес юридического лица, адрес места жительства (для индивидуального предпринимателя);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д) запрашиваемый заявителем размер субсидии.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Протокол вскрытия заявок формируется автоматически на едином портале и подписывается усиленной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квалифицированной электронной подписью председателя Комиссии и членов Комиссии в системе «Электронный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бюджет».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Указанный протокол размещается на едином портале не позднее 1 рабочего дня, следующего за днем его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подписания.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Заявка заявителя признается надлежащей, если она соответствует требованиям, указанным в объявлении о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проведении отбора, и при отсутствии оснований для отклонения заявки.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Решения о соответствии заявки требованиям, указанным в объявлении о проведении отбора получателей субсидий,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принимаются Комиссией, на даты получения результатов проверки представленных заявителями информации и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документов, поданных в составе заявки.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По результатам рассмотрения заявок не позднее 1 рабочего дня со дня окончания срока рассмотрения заявок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подготавливается протокол рассмотрения заявок, включающий информацию о количестве поступивших и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рассмотренных заявок, а также информацию по каждому заявителю о признании его заявки надлежащей или об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отклонении его заявки с указанием оснований для отклонения.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Протокол рассмотрения заявок формируется на едином портале автоматически на основании результатов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рассмотрения заявок и подписывается усиленной квалифицированной электронной подписью председателя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Комиссии в системе «Электронный бюджет», а также размещается на едином портале не позднее рабочего дня,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следующего за днем его подписания.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В целях полного, всестороннего и объективного рассмотрения или рассмотрения и оценки заявки организатор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отбора вправе запросить у заявителя разъяснения в отношении документов и информации с использованием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системы «Электронный бюджет», направляемый при необходимости в равной мере всем участникам отбора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получателей субсидии.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Заявитель в установленные сроки представляет информацию и документы в соответствии с использованием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системы «Электронный бюджет».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В случае если заявитель не представил запрашиваемые документы и информацию в срок, установленный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соответствующим запросом, информация об этом включается в протокол рассмотрения заявок.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2.5. Порядок отклонения заявок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Заявка заявителя отклоняется в течение 3 рабочих дней со дня открытия организатором отбора доступа в системе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«Электронный бюджет» к поданным заявителями заявкам для их рассмотрения в случае наличия оснований для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отклонения заявки.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Основания для отклонения заявки заявителя на стадии рассмотрения заявки: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а) несоответствие заявителя требованиям, указанным в объявлении о проведении отбора;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б) непредставление (представление не в полном объеме) документов, указанных в объявлении о проведении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отбора;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в) несоответствие представленных документов и (или) заявки требованиям, установленным в объявлении о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проведении отбора;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г) установление факта недостоверности информации, содержащейся в документах, представленных в составе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заявки;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д) подача заявки после даты и (или) времени, определенных для её подачи.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Основания для отклонения заявки заявителя на стадии оценки заявки: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а) несоответствие заявителя требованиям, указанным в объявлении о проведении отбора;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б) установление факта недостоверности информации, содержащейся в документах, представленных в составе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заявки;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в) набор заявки менее минимального значения среднего суммарного количества баллов (25 баллов).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2.6. Основания для отклонения заявок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- Несоответствие представленных документов и (или) заявки требованиям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- Непредставление (представление не в полном объеме) документов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- Недостоверность информации, содержащейся в документах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- Несоответствие участника отбора требованиям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- Подача заявки после даты и(или) времени, определенных для ее подачи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2.7.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Порядок предоставления участникам отбора разъяснений положений объявления о проведении отбора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Заявитель со дня размещения объявления о проведении отбора на едином портале не позднее 3 (третьего) рабочего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дня до дня завершения подачи заявок вправе направить Департаменту не более 5 (пяти) запросов о разъяснении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положений объявления о проведении отбора путем формирования в системе «Электронный бюджет»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соответствующего запроса.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Департамент в ответ на запрос направляет разъяснение положений объявления о проведении отбора в срок,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установленный указанным объявлением, но не позднее 1 (одного) рабочего дня до дня завершения подачи заявок,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путем формирования в системе «Электронный бюджет» соответствующего разъяснения.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Представленное организатором обора разъяснение положений объявления о проведении отбора не должно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изменять суть информации, содержащейся в указанном объявлении.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Доступ к разъяснению, формируемому в системе «Электронный бюджет» предоставляется всем заявителям.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2.8.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Документация по отбору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Отсутствуют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3.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Критерии рассмотрения и оценки заявок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3.1. Перечень документов, предоставляемых для подтверждения соответствия требованиям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- смета расходов на реализацию проекта с расходами на доставку, установку с приложением не менее 2 (двух)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коммерческих предложений либо изображений страниц с ценами на официальных сайтах поставщиков товаров и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услуг в сети «Интернет»;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- бизнес-план проекта в соответствии с методическими рекомендациями, утвержденными приказом Департамента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промышленности Ханты-Мансийского автономного округа – Югры (далее – Департамент);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- план расходов по форме, утвержденной приказом Департамента;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- копия документа, подтверждающего полномочия лица на осуществление действий от имени заявителя -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юридического лица, в соответствии с которым такое физическое лицо обладает правом действовать от имени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заявителя без доверенности (копия решения о назначении либо об избрании, либо копия приказа о назначении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физического лица на должность руководителя), заверенного в установленном порядке;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- копия доверенности на осуществление действий от имени заявителя, подписанная руководителем (для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юридического лица) или уполномоченным руководителем лицом с печатью заявителя (при наличии печати), либо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засвидетельствованная в нотариальном порядке копия доверенности (в случае, если от имени заявителя действует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иное лицо);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- презентация проекта (в форматах pptx, и pdf) в соответствии с рекомендациями, утвержденными приказом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Департамента;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- копия документации, в которую входят чертежи с указанием размера помещений, их планировки, схемы и карта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расположения объекта, разработанная согласно обязательствам, предусмотренным техническими условиями, – для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мероприятий по некапитальному строительству, приобретению и установке модульных объектов некапитального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строительства заводского производства;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- копия(и) договора (ов) с туроператором(ами) по включению объекта(ов) туристской индустрии в программу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тура(ов) турператора(ов) с приложением программы продолжительностью не менее 2 (двух) дней либо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программа(ы) тура(ов) заявителя, являющегося туроператором, либо подтверждающие документы о том, что</w:t>
      </w:r>
      <w: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заявитель предоставляет отчетность в Федеральную службу государственной статистики по форме 1‑КСР;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- копии правоустанавливающих документов на объекты недвижимости, указанные в заявке; 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- копия положительного заключения достоверности определения сметной стоимости, экспертизы для мероприятий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по некапитальному строительству;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- копия согласования ФБУ «Администрация Обь-Иртышского бассейна внутренних водных путей» для проектов по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установке некапитальной нестационарной причальной инфраструктуры на внутренних водных путях Российской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Федерации;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- копия согласования органа местного самоуправления автономного округа для проектов, планируемых к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реализации на земельных участках, собственником, которых является муниципальное образование автономного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округа, для мероприятий по созданию и (или) развитию пляжей на берегах рек, озер, водохранилищ или иных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водных объектов, Создание некапитальной нестационарной причальной инфраструктуры (указанным в пунктах 4.1.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1, 4.3 настоящего Порядка);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- копия разрешительного документа, предоставляющего право пользования поверхностными водными объекта или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их частями в соответствии с статьей 11 Водного кодекса Российской Федерации, за исключением случаев,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установленных частью 2 Статьи 8 Водного кодекса Российской Федерации, для мероприятия, указанного в пункте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4.3 настоящего Порядка;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- справка, подтверждающая отсутствие просроченной задолженности по субсидиям, бюджетным инвестициям и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иным средствам, предоставленным из бюджета автономного округа, по форме, утвержденной приказом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Министерства финансов Российской Федерации от 30.11.2021 № 199н «Об утверждении типовой формы</w:t>
      </w:r>
      <w: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соглашения (договора) о предоставлении из федерального бюджета субсидий, в том числе грантов в форме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субсидий, юридическим лицам, индивидуальным предпринимателям, а также физическим лицам» (приложение №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2);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- согласие на осуществление Департаментом и органами государственного финансового контроля проверок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соблюдения получателем субсидии целей, условий и порядка предоставления субсидии, по форме, утвержденной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приказом Департамента;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- согласие на обработку персональных данных, по форме, утвержденной приказом Департамента.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3.2.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Требования к участникам отбора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- Отсутствует просроченная (неурегулированная) задолженность по денежным обязательствам перед публично -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правовым образованием, из бюджета которого планируется предоставление субсидии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- Участник отбора не является российским юридическим лицом, в уставном (складочном) капитале которого доля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прямого или косвенного (через третьих лиц) участия иностранных юридических лиц, местом регистрации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которых является государство или территория, включенные в утверждаемый Министерством финансов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Российской Федерации перечень государств и территорий, используемых для промежуточного (офшорного)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владения активами в Российской Федерации, в совокупности превышает 25 процентов (если иное не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предусмотрено законодательством Российской Федерации)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-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Участник отбора не должен получать средства из федерального бюджета (бюджета субъекта Российской</w:t>
      </w:r>
      <w: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Федерации, местного бюджета), из которого планируется предоставление субсидии, на основании иных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нормативных правовых актов Российской Федерации (нормативных правовых актов субъекта Российской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Федерации, муниципальных правовых актов), решений о порядке предоставления субсидии на цели,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установленные решением о порядке предоставления субсидии, в целях определения получателей которой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проводится отбор получателей субсидий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- Участник отбора не является иностранным агентом в соответствии с Федеральным законом «О контроле за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деятельностью лиц, находящихся под иностранным влиянием»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Участник отбора не должен находиться в перечне организаций и физических лиц, в отношении которых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имеются сведения об их причастности к экстремистской деятельности или терроризму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-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Участник отбора (получатель субсидии) не находится перечне организаций и физических лиц, связанных с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террористическими организациями и террористами, составляемом в рамках реализации полномочий,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предусмотренных главой VII Устава ООН, Советом Безопасности ООН или органами, специально созданными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решениями Совета Безопасности ООН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-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Участник отбора (получатель субсидии) не находится перечне организаций и физических лиц, связанных с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распространением оружия массового уничтожения, составляемом в рамках реализации полномочий,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предусмотренных главой VII Устава ООН, Советом Безопасности ООН или органами, специально созданными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решениями Совета Безопасности ООН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-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Участник отбора не является иностранным юридическим лицом, в том числе местом регистрации которого</w:t>
      </w:r>
      <w: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является государство или территория, включенные в утверждаемый Министерством финансов Российской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Федерации перечень государств и территорий, используемых для промежуточного (офшорного) владения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активами в Российской Федерации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-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Участник отбора имеет статус налогового резидента Российской Федерации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- Участник отбора - юридическое лицо не находится в процессе реорганизации (за исключением реорганизации в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форме присоединения к юридическому лицу, являющемуся участником отбора, другого юридического лица)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-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Участник отбора - юридическое лицо не проходит процедуру ликвидации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- В отношении участника отбора - юридического лица не введена процедура банкротства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- Деятельность участника отбора - юридического лица не приостановлена в порядке, предусмотренном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законодательством Российской Федерации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-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Деятельность участника отбора - индивидуального предпринимателя не прекращена в качестве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индивидуального предпринимателя в порядке, предусмотренном законодательством Российской Федерации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- В реестре дисквалифицированных лиц отсутствуют сведения о дисквалифицированном руководителе участника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отбора, являющегося юридическим лицом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- В реестре дисквалифицированных лиц отсутствуют сведения о дисквалифицированных членах коллегиального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исполнительного органа/лице, исполняющем обязанности единоличного исполнителя органа участника отбора,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являющегося юридическим лицом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-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В реестре дисквалифицированных лиц отсутствуют сведения о дисквалифицированном главном бухгалтере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участника отбора, являющегося юридическим лицом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-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В реестре дисквалифицированных лиц отсутствуют сведения о дисквалифицированном индивидуальном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предпринимателе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-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Участник отбора обладает кадровым составом, необходимым для достижения результатов предоставления</w:t>
      </w:r>
      <w: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субсидии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-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Участник отбора зарегистрирован на территории Российской Федерации в соответствии с законодательством</w:t>
      </w:r>
      <w: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Российской Федерации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- В отношении участника отбора - индивидуального предпринимателя не введена процедура банкротства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- Участник отбора предоставил весь требуемый перечень документов, необходимых для подтверждения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соответствия участника отбора требованиям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- Заявитель должен осуществлять деятельность на территории автономного округа в соответствии со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следующими видами и группировками экономической деятельности согласно Общероссийскому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классификатору видов экономической деятельности ОК 029-2014 (КДЕС РЕД. 2), утвержденному приказом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Федерального агентства по техническому регулированию и метрологии от 31 января 2014 года № 14-ст: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55.1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Деятельность гостиниц и прочих мест для временного проживания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55.2 Деятельность по предоставлению мест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для краткосрочного проживания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56.10.1 Деятельность ресторанов и кафе с полным обслуживанием, кафетериев,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ресторанов быстрого питания и самообслуживания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77.21 Прокат и аренда товаров для отдыха и спортивных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товаров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79 Деятельность туристических агентств и прочих организаций, предоставляющих услуги в сфере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туризма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86.90.4 Деятельность санаторно-курортных организаций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- Заявитель должен иметь на праве владения либо аренды, либо пользования земельный участок, на котором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планируется реализация проекта, в соответствии с мероприятиями: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1) обустройство пляжа в соответствии с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требованиями национального стандарта Российской Федерации ГОСТ Р 55698-2013 «Туристские услуги.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Услуги пляжей. Общие требования», введенного в действие приказом Росстандарта от 8 ноября 2013 года №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1345-ст, за исключением берегозащитных, противооползневых и других защитных мероприятий, а также</w:t>
      </w:r>
      <w: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мероприятий по очистке дна акватории;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2) обустройство детских и спортивных зон отдыха;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3) создание пунктов</w:t>
      </w:r>
      <w: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общественного питания (некапитальное строительство);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4) установка или обустройство туристских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информационных центров (формы некапитального строительства);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5) приобретение и установка санитарных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модулей;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6) организация круглогодичного функционирования и расширение доступности плавательных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бассейнов, в том числе приобретение систем подогрева, теплообменных устройств, а также приобретение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мобильных погружных устройств для лиц с ограниченными возможностями здоровья;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7) создание и развитие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доступной туристской среды для лиц с ограниченными возможностями здоровья, стимулирование развития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инклюзивного туризма, в том числе оборудование пандусов, подъемников, адаптационные работы и иные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мероприятия по созданию безбарьерной среды, среды для лиц с ограниченными возможностями здоровья по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зрению и слуху;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8) создание некапитальной нестационарной причальной инфраструктуры.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-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Отсутствие у заявителя на едином налоговом счете или не превышение размера, определенный пунктом 3</w:t>
      </w:r>
      <w: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статьи 47 Налогового кодекса Российской Федерации, задолженности по уплате налогов, сборов и страховых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взносов в бюджеты бюджетной системы Российской Федерации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3.3.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Информация о критериях и порядке оценки заявок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rPr>
          <w:b/>
          <w:bCs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  <w:highlight w:val="none"/>
          <w:lang w:val="ru-RU"/>
        </w:rPr>
        <w:t xml:space="preserve">Проект способствует увеличению значения показателя «Число туристских поездок»</w:t>
      </w:r>
      <w:r>
        <w:rPr>
          <w:b/>
          <w:bCs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Шкала оценок: 0-100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Тип шкалы оценки: Список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Весовое значение: 0,10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Подтверждающий документ: Заявление на участие в отборе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Методология оценки: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Проект не способствует увеличению значения показателя «Число туристских поездок» - 0 баллов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Проект способствует увеличению значения показателя «Число туристских поездок» на 500 человек в год – 10 баллов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Проект способствует увеличению значения показателя «Число туристских поездок» от 501 до 1000 человек в год – 20 баллов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Проект способствует увеличению значения показателя «Число туристских поездок» от 1001 до 1500 человек в год –30 баллов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Проект способствует увеличению значения показателя «Число туристских поездок» от 1501 до 2000 человек в год – 40 баллов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Проект способствует увеличению значения показателя «Число туристских поездок» от 2001 до 2500 человек в год – 50 баллов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Проект способствует увеличению значения показателя «Число туристских поездок» от 2501 до 3000 человек в год – 60 баллов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Проект способствует увеличению значения показателя «Число туристских поездок» от 3001 до 3500 человек в год – 70 баллов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Проект способствует увеличению значения показателя «Число туристских поездок» от 3501 до 4000 человек в год – 80 баллов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Проект способствует увеличению значения показателя «Число туристских поездок» от 4001 до 4500 человек в год – 90 баллов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Проект способствует увеличению значения показателя «Число туристских поездок» от 4501 и более человек в год – 100 баллов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rPr>
          <w:b/>
          <w:bCs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  <w:highlight w:val="none"/>
          <w:lang w:val="ru-RU"/>
        </w:rPr>
        <w:t xml:space="preserve">Проект направлен на создание или развитие национального туристского маршрута Ханты-Мансийского</w:t>
      </w:r>
      <w:r>
        <w:rPr>
          <w:b/>
          <w:bCs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автономного округа - Югры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Шкала оценок: 0-100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Тип шкалы оценки: Список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Весовое значение: 0,10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Подтверждающий документ: Бизнес-план проекта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Методология оценки: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Проект направлен на создание или развитие национального туристского маршрута Ханты-Мансийского автономного округа - Югры - 100 баллов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Проект не направлен на создание или развитие национального туристского маршрута Ханты-Мансийского автономного округа - Югры - 0 баллов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rPr>
          <w:b/>
          <w:bCs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  <w:highlight w:val="none"/>
          <w:lang w:val="ru-RU"/>
        </w:rPr>
        <w:t xml:space="preserve">Срок окупаемости проекта (без учета субсидии)</w:t>
      </w:r>
      <w:r>
        <w:rPr>
          <w:b/>
          <w:bCs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Шкала оценок: 0-100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Тип шкалы оценки: Список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Весовое значение: 0,10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Подтверждающий документ: Паспорт проекта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Методология оценки: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Срок окупаемости проекта (без учета субсидии):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не указан - 0 баллов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более 5 лет – 40 баллов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от 3 до 5 лет – 70 баллов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до 3 лет – 100 баллов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rPr>
          <w:b/>
          <w:bCs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  <w:highlight w:val="none"/>
          <w:lang w:val="ru-RU"/>
        </w:rPr>
        <w:t xml:space="preserve">Транспортная доступность</w:t>
      </w:r>
      <w:r>
        <w:rPr>
          <w:b/>
          <w:bCs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Шкала оценок: 0-100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Тип шкалы оценки: Список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Весовое значение: 0,10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Подтверждающий документ: Паспорт проекта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Методология оценки: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Транспортная доступность от населенного пункта либо от объекта туристического притяжения  к предусмотренному проекту от населенного пункта либо от объекта туристического притяжения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не указана - 0 баллов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расстояние до автомобильной дороги с твердым покрытием более 50 км – 40 баллов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расстояние до автомобильной дороги с твердым покрытием до 50 км – 70 баллов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наличие автомобильной дороги автомобильной дороги с твердым покрытием до 50 км – 100 баллов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rPr>
          <w:b/>
          <w:bCs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  <w:highlight w:val="none"/>
          <w:lang w:val="ru-RU"/>
        </w:rPr>
        <w:t xml:space="preserve">Соответствие опыта и компетенций команды проекта заявленному направлению</w:t>
      </w:r>
      <w:r>
        <w:rPr>
          <w:b/>
          <w:bCs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Шкала оценок: 0-100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Тип шкалы оценки: Список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Весовое значение: 0,10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Подтверждающий документ: Паспорт проекта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Методология оценки: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Информация об опыте и компетенциях команды проекта не указана - 0 баллов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Информация об опыте и компетенциях команды проекта указана, но не соответствует заявленному направлению – 30 баллов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Информация об опыте и компетенциях команды проекта указана и соответствует заявленному направлению – 100 баллов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rPr>
          <w:b/>
          <w:bCs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  <w:highlight w:val="none"/>
          <w:lang w:val="ru-RU"/>
        </w:rPr>
        <w:t xml:space="preserve">Опыт реализации проектов в сфере туризма заявителем</w:t>
      </w:r>
      <w:r>
        <w:rPr>
          <w:b/>
          <w:bCs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Шкала оценок: 0-100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Тип шкалы оценки: Список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Весовое значение: 0,10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Подтверждающий документ: Паспорт проекта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Методология оценки: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Информация об опыте реализации заявителем проектов в сфере туризма не не указана - 0 баллов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Указано наличие опыта реализации проектов в сфере туризма специалистов команды – 50 баллов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Указано наличие опыта реализации проектов в сфере туризма руководителя команды – 100 баллов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rPr>
          <w:b/>
          <w:bCs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  <w:highlight w:val="none"/>
          <w:lang w:val="ru-RU"/>
        </w:rPr>
        <w:t xml:space="preserve">Обоснованность и реалистичность бюджета проекта</w:t>
      </w:r>
      <w:r>
        <w:rPr>
          <w:b/>
          <w:bCs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Шкала оценок: 0-100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Тип шкалы оценки: Список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Весовое значение: 0,10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Подтверждающий документ: Бизнес-план проекта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Методология оценки: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Обоснованность проекта не отражена - 0 баллов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Проект обоснован, но нереалистичен (отсутствует инфраструктура для реализации проекта либо несоответствие реализуемых мероприятий конъюнктуре туристского рынка проекта – 40 баллов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Проект обоснован и реалистичен (наличие либо создание инфраструктуры для реализации проекта, реализуемые мероприятия соответствуют конъюнктуре туристского рынка проекта – 100 баллов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rPr>
          <w:b/>
          <w:bCs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  <w:highlight w:val="none"/>
          <w:lang w:val="ru-RU"/>
        </w:rPr>
        <w:t xml:space="preserve">Наличие плана развития проекта</w:t>
      </w:r>
      <w:r>
        <w:rPr>
          <w:b/>
          <w:bCs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Шкала оценок: 0-100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Тип шкалы оценки: Список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Весовое значение: 0,10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Подтверждающий документ: Бизнес-план проекта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Методология оценки: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План дальнейшего развития проекта отсутствует - 0 баллов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План дальнейшего развития проекта основан только на существующей инфраструктуре и туристских услугах – 50 баллов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План дальнейшего развития проекта основан на создании новых объектов инфраструктуры и туристских услуг – 100 баллов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rPr>
          <w:b/>
          <w:bCs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  <w:highlight w:val="none"/>
          <w:lang w:val="ru-RU"/>
        </w:rPr>
        <w:t xml:space="preserve">Наличие действующих сайта, аккаунта в социальных сетях заявителя</w:t>
      </w:r>
      <w:r>
        <w:rPr>
          <w:b/>
          <w:bCs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Шкала оценок: 0-100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Тип шкалы оценки: Список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Весовое значение: 0,10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Подтверждающий документ: Паспорт проекта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Методология оценки: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Сайт и аккаунты в социальных сетях заявителя отсутствуют - 0 баллов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Наличие действующих сайта либо аккаунта в социальных сетях заявителя - 50 баллов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Наличие действующих сайта и аккаунта в социальных сетях заявителя – 100 баллов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rPr>
          <w:rFonts w:ascii="Times New Roman" w:hAnsi="Times New Roman" w:cs="Times New Roman"/>
          <w:b/>
          <w:bCs/>
          <w:color w:val="auto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  <w:highlight w:val="none"/>
          <w:lang w:val="ru-RU"/>
        </w:rPr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highlight w:val="none"/>
          <w:lang w:val="ru-RU"/>
        </w:rPr>
        <w:t xml:space="preserve">Проект направлен на всесезонное предложение услуг на туристском рынке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highlight w:val="none"/>
          <w:lang w:val="ru-RU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Шкала оценок: 0-100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Тип шкалы оценки: Список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Весовое значение: 0,10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Подтверждающий документ: Паспорт проекта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Методология оценки: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Сезонность предложения услуг на туристском рынке не указана - 0 баллов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Предполагает сезонность предложения услуг на туристском рынке – 50 баллов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Предложение услуг на туристском рынке является всесезонным – 100 баллов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3.4.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Дополнительная информация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Отсутствует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</w:r>
      <w:r/>
    </w:p>
    <w:sectPr>
      <w:headerReference w:type="default" r:id="rId9"/>
      <w:footnotePr/>
      <w:endnotePr/>
      <w:type w:val="nextPage"/>
      <w:pgSz w:w="11906" w:h="16838" w:orient="portrait"/>
      <w:pgMar w:top="1276" w:right="1276" w:bottom="1134" w:left="1559" w:header="0" w:footer="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before="0" w:after="0"/>
      </w:pPr>
      <w:r>
        <w:separator/>
      </w:r>
      <w:r/>
    </w:p>
  </w:endnote>
  <w:endnote w:type="continuationSeparator" w:id="0">
    <w:p>
      <w:pPr>
        <w:spacing w:before="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Calibri">
    <w:panose1 w:val="020F0502020204030204"/>
  </w:font>
  <w:font w:name="Wingdings">
    <w:panose1 w:val="05000000000000000000"/>
  </w:font>
  <w:font w:name="Liberation Sans">
    <w:panose1 w:val="020B0604020202020204"/>
  </w:font>
  <w:font w:name="Tahoma">
    <w:panose1 w:val="020B0604030504040204"/>
  </w:font>
  <w:font w:name="Mangal">
    <w:panose1 w:val="02040503050406030204"/>
  </w:font>
  <w:font w:name="Courier New">
    <w:panose1 w:val="02070309020205020404"/>
  </w:font>
  <w:font w:name="Microsoft YaHei">
    <w:panose1 w:val="020B050302020402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before="0" w:after="0"/>
      </w:pPr>
      <w:r>
        <w:separator/>
      </w:r>
      <w:r/>
    </w:p>
  </w:footnote>
  <w:footnote w:type="continuationSeparator" w:id="0">
    <w:p>
      <w:pPr>
        <w:spacing w:before="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2"/>
      <w:jc w:val="center"/>
    </w:pPr>
    <w:r/>
    <w:r/>
  </w:p>
  <w:sdt>
    <w:sdtPr>
      <w15:appearance w15:val="boundingBox"/>
      <w:id w:val="1231557407"/>
      <w:docPartObj>
        <w:docPartGallery w:val="Page Numbers (Top of Page)"/>
        <w:docPartUnique w:val="true"/>
      </w:docPartObj>
      <w:rPr/>
    </w:sdtPr>
    <w:sdtContent>
      <w:p>
        <w:pPr>
          <w:pStyle w:val="872"/>
          <w:jc w:val="center"/>
        </w:pPr>
        <w:r>
          <w:fldChar w:fldCharType="begin"/>
        </w:r>
        <w:r>
          <w:instrText xml:space="preserve">PAGE</w:instrText>
        </w:r>
        <w:r>
          <w:fldChar w:fldCharType="separate"/>
        </w:r>
        <w:r>
          <w:t xml:space="preserve">7</w:t>
        </w:r>
        <w:r>
          <w:fldChar w:fldCharType="end"/>
        </w:r>
        <w:r/>
      </w:p>
      <w:p>
        <w:pPr>
          <w:pStyle w:val="872"/>
        </w:pPr>
        <w:r/>
        <w:r/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0">
    <w:name w:val="Heading 1"/>
    <w:basedOn w:val="842"/>
    <w:next w:val="842"/>
    <w:link w:val="67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1">
    <w:name w:val="Heading 1 Char"/>
    <w:basedOn w:val="843"/>
    <w:link w:val="670"/>
    <w:uiPriority w:val="9"/>
    <w:rPr>
      <w:rFonts w:ascii="Arial" w:hAnsi="Arial" w:eastAsia="Arial" w:cs="Arial"/>
      <w:sz w:val="40"/>
      <w:szCs w:val="40"/>
    </w:rPr>
  </w:style>
  <w:style w:type="paragraph" w:styleId="672">
    <w:name w:val="Heading 2"/>
    <w:basedOn w:val="842"/>
    <w:next w:val="842"/>
    <w:link w:val="67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3">
    <w:name w:val="Heading 2 Char"/>
    <w:basedOn w:val="843"/>
    <w:link w:val="672"/>
    <w:uiPriority w:val="9"/>
    <w:rPr>
      <w:rFonts w:ascii="Arial" w:hAnsi="Arial" w:eastAsia="Arial" w:cs="Arial"/>
      <w:sz w:val="34"/>
    </w:rPr>
  </w:style>
  <w:style w:type="paragraph" w:styleId="674">
    <w:name w:val="Heading 3"/>
    <w:basedOn w:val="842"/>
    <w:next w:val="842"/>
    <w:link w:val="67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5">
    <w:name w:val="Heading 3 Char"/>
    <w:basedOn w:val="843"/>
    <w:link w:val="674"/>
    <w:uiPriority w:val="9"/>
    <w:rPr>
      <w:rFonts w:ascii="Arial" w:hAnsi="Arial" w:eastAsia="Arial" w:cs="Arial"/>
      <w:sz w:val="30"/>
      <w:szCs w:val="30"/>
    </w:rPr>
  </w:style>
  <w:style w:type="paragraph" w:styleId="676">
    <w:name w:val="Heading 4"/>
    <w:basedOn w:val="842"/>
    <w:next w:val="842"/>
    <w:link w:val="67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7">
    <w:name w:val="Heading 4 Char"/>
    <w:basedOn w:val="843"/>
    <w:link w:val="676"/>
    <w:uiPriority w:val="9"/>
    <w:rPr>
      <w:rFonts w:ascii="Arial" w:hAnsi="Arial" w:eastAsia="Arial" w:cs="Arial"/>
      <w:b/>
      <w:bCs/>
      <w:sz w:val="26"/>
      <w:szCs w:val="26"/>
    </w:rPr>
  </w:style>
  <w:style w:type="paragraph" w:styleId="678">
    <w:name w:val="Heading 5"/>
    <w:basedOn w:val="842"/>
    <w:next w:val="842"/>
    <w:link w:val="67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9">
    <w:name w:val="Heading 5 Char"/>
    <w:basedOn w:val="843"/>
    <w:link w:val="678"/>
    <w:uiPriority w:val="9"/>
    <w:rPr>
      <w:rFonts w:ascii="Arial" w:hAnsi="Arial" w:eastAsia="Arial" w:cs="Arial"/>
      <w:b/>
      <w:bCs/>
      <w:sz w:val="24"/>
      <w:szCs w:val="24"/>
    </w:rPr>
  </w:style>
  <w:style w:type="paragraph" w:styleId="680">
    <w:name w:val="Heading 6"/>
    <w:basedOn w:val="842"/>
    <w:next w:val="842"/>
    <w:link w:val="68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1">
    <w:name w:val="Heading 6 Char"/>
    <w:basedOn w:val="843"/>
    <w:link w:val="680"/>
    <w:uiPriority w:val="9"/>
    <w:rPr>
      <w:rFonts w:ascii="Arial" w:hAnsi="Arial" w:eastAsia="Arial" w:cs="Arial"/>
      <w:b/>
      <w:bCs/>
      <w:sz w:val="22"/>
      <w:szCs w:val="22"/>
    </w:rPr>
  </w:style>
  <w:style w:type="paragraph" w:styleId="682">
    <w:name w:val="Heading 7"/>
    <w:basedOn w:val="842"/>
    <w:next w:val="842"/>
    <w:link w:val="68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3">
    <w:name w:val="Heading 7 Char"/>
    <w:basedOn w:val="843"/>
    <w:link w:val="68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4">
    <w:name w:val="Heading 8"/>
    <w:basedOn w:val="842"/>
    <w:next w:val="842"/>
    <w:link w:val="68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5">
    <w:name w:val="Heading 8 Char"/>
    <w:basedOn w:val="843"/>
    <w:link w:val="684"/>
    <w:uiPriority w:val="9"/>
    <w:rPr>
      <w:rFonts w:ascii="Arial" w:hAnsi="Arial" w:eastAsia="Arial" w:cs="Arial"/>
      <w:i/>
      <w:iCs/>
      <w:sz w:val="22"/>
      <w:szCs w:val="22"/>
    </w:rPr>
  </w:style>
  <w:style w:type="paragraph" w:styleId="686">
    <w:name w:val="Heading 9"/>
    <w:basedOn w:val="842"/>
    <w:next w:val="842"/>
    <w:link w:val="68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7">
    <w:name w:val="Heading 9 Char"/>
    <w:basedOn w:val="843"/>
    <w:link w:val="686"/>
    <w:uiPriority w:val="9"/>
    <w:rPr>
      <w:rFonts w:ascii="Arial" w:hAnsi="Arial" w:eastAsia="Arial" w:cs="Arial"/>
      <w:i/>
      <w:iCs/>
      <w:sz w:val="21"/>
      <w:szCs w:val="21"/>
    </w:rPr>
  </w:style>
  <w:style w:type="paragraph" w:styleId="688">
    <w:name w:val="No Spacing"/>
    <w:uiPriority w:val="1"/>
    <w:qFormat/>
    <w:pPr>
      <w:spacing w:before="0" w:after="0" w:line="240" w:lineRule="auto"/>
    </w:pPr>
  </w:style>
  <w:style w:type="paragraph" w:styleId="689">
    <w:name w:val="Title"/>
    <w:basedOn w:val="842"/>
    <w:next w:val="842"/>
    <w:link w:val="69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0">
    <w:name w:val="Title Char"/>
    <w:basedOn w:val="843"/>
    <w:link w:val="689"/>
    <w:uiPriority w:val="10"/>
    <w:rPr>
      <w:sz w:val="48"/>
      <w:szCs w:val="48"/>
    </w:rPr>
  </w:style>
  <w:style w:type="paragraph" w:styleId="691">
    <w:name w:val="Subtitle"/>
    <w:basedOn w:val="842"/>
    <w:next w:val="842"/>
    <w:link w:val="692"/>
    <w:uiPriority w:val="11"/>
    <w:qFormat/>
    <w:pPr>
      <w:spacing w:before="200" w:after="200"/>
    </w:pPr>
    <w:rPr>
      <w:sz w:val="24"/>
      <w:szCs w:val="24"/>
    </w:rPr>
  </w:style>
  <w:style w:type="character" w:styleId="692">
    <w:name w:val="Subtitle Char"/>
    <w:basedOn w:val="843"/>
    <w:link w:val="691"/>
    <w:uiPriority w:val="11"/>
    <w:rPr>
      <w:sz w:val="24"/>
      <w:szCs w:val="24"/>
    </w:rPr>
  </w:style>
  <w:style w:type="paragraph" w:styleId="693">
    <w:name w:val="Quote"/>
    <w:basedOn w:val="842"/>
    <w:next w:val="842"/>
    <w:link w:val="694"/>
    <w:uiPriority w:val="29"/>
    <w:qFormat/>
    <w:pPr>
      <w:ind w:left="720" w:right="720"/>
    </w:pPr>
    <w:rPr>
      <w:i/>
    </w:rPr>
  </w:style>
  <w:style w:type="character" w:styleId="694">
    <w:name w:val="Quote Char"/>
    <w:link w:val="693"/>
    <w:uiPriority w:val="29"/>
    <w:rPr>
      <w:i/>
    </w:rPr>
  </w:style>
  <w:style w:type="paragraph" w:styleId="695">
    <w:name w:val="Intense Quote"/>
    <w:basedOn w:val="842"/>
    <w:next w:val="842"/>
    <w:link w:val="69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6">
    <w:name w:val="Intense Quote Char"/>
    <w:link w:val="695"/>
    <w:uiPriority w:val="30"/>
    <w:rPr>
      <w:i/>
    </w:rPr>
  </w:style>
  <w:style w:type="character" w:styleId="697">
    <w:name w:val="Header Char"/>
    <w:basedOn w:val="843"/>
    <w:link w:val="872"/>
    <w:uiPriority w:val="99"/>
  </w:style>
  <w:style w:type="character" w:styleId="698">
    <w:name w:val="Footer Char"/>
    <w:basedOn w:val="843"/>
    <w:link w:val="873"/>
    <w:uiPriority w:val="99"/>
  </w:style>
  <w:style w:type="character" w:styleId="699">
    <w:name w:val="Caption Char"/>
    <w:basedOn w:val="866"/>
    <w:link w:val="873"/>
    <w:uiPriority w:val="99"/>
  </w:style>
  <w:style w:type="table" w:styleId="700">
    <w:name w:val="Table Grid Light"/>
    <w:basedOn w:val="84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1">
    <w:name w:val="Plain Table 1"/>
    <w:basedOn w:val="84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2">
    <w:name w:val="Plain Table 2"/>
    <w:basedOn w:val="84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3">
    <w:name w:val="Plain Table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4">
    <w:name w:val="Plain Table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Plain Table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6">
    <w:name w:val="Grid Table 1 Light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4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8">
    <w:name w:val="Grid Table 4 - Accent 1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9">
    <w:name w:val="Grid Table 4 - Accent 2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0">
    <w:name w:val="Grid Table 4 - Accent 3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1">
    <w:name w:val="Grid Table 4 - Accent 4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2">
    <w:name w:val="Grid Table 4 - Accent 5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3">
    <w:name w:val="Grid Table 4 - Accent 6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4">
    <w:name w:val="Grid Table 5 Dark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5">
    <w:name w:val="Grid Table 5 Dark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6">
    <w:name w:val="Grid Table 5 Dark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7">
    <w:name w:val="Grid Table 5 Dark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8">
    <w:name w:val="Grid Table 5 Dark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9">
    <w:name w:val="Grid Table 5 Dark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0">
    <w:name w:val="Grid Table 5 Dark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1">
    <w:name w:val="Grid Table 6 Colorful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2">
    <w:name w:val="Grid Table 6 Colorful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3">
    <w:name w:val="Grid Table 6 Colorful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4">
    <w:name w:val="Grid Table 6 Colorful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5">
    <w:name w:val="Grid Table 6 Colorful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6">
    <w:name w:val="Grid Table 6 Colorful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7">
    <w:name w:val="Grid Table 6 Colorful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8">
    <w:name w:val="Grid Table 7 Colorful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3">
    <w:name w:val="List Table 2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4">
    <w:name w:val="List Table 2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5">
    <w:name w:val="List Table 2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6">
    <w:name w:val="List Table 2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7">
    <w:name w:val="List Table 2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8">
    <w:name w:val="List Table 2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9">
    <w:name w:val="List Table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5 Dark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6 Colorful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1">
    <w:name w:val="List Table 6 Colorful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2">
    <w:name w:val="List Table 6 Colorful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3">
    <w:name w:val="List Table 6 Colorful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4">
    <w:name w:val="List Table 6 Colorful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5">
    <w:name w:val="List Table 6 Colorful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6">
    <w:name w:val="List Table 6 Colorful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7">
    <w:name w:val="List Table 7 Colorful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8">
    <w:name w:val="List Table 7 Colorful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9">
    <w:name w:val="List Table 7 Colorful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0">
    <w:name w:val="List Table 7 Colorful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1">
    <w:name w:val="List Table 7 Colorful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2">
    <w:name w:val="List Table 7 Colorful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3">
    <w:name w:val="List Table 7 Colorful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4">
    <w:name w:val="Lined - Accent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5">
    <w:name w:val="Lined - Accent 1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6">
    <w:name w:val="Lined - Accent 2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7">
    <w:name w:val="Lined - Accent 3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8">
    <w:name w:val="Lined - Accent 4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9">
    <w:name w:val="Lined - Accent 5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0">
    <w:name w:val="Lined - Accent 6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1">
    <w:name w:val="Bordered &amp; Lined - Accent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2">
    <w:name w:val="Bordered &amp; Lined - Accent 1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3">
    <w:name w:val="Bordered &amp; Lined - Accent 2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4">
    <w:name w:val="Bordered &amp; Lined - Accent 3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5">
    <w:name w:val="Bordered &amp; Lined - Accent 4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6">
    <w:name w:val="Bordered &amp; Lined - Accent 5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7">
    <w:name w:val="Bordered &amp; Lined - Accent 6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8">
    <w:name w:val="Bordered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9">
    <w:name w:val="Bordered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0">
    <w:name w:val="Bordered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1">
    <w:name w:val="Bordered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2">
    <w:name w:val="Bordered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3">
    <w:name w:val="Bordered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4">
    <w:name w:val="Bordered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25">
    <w:name w:val="footnote text"/>
    <w:basedOn w:val="842"/>
    <w:link w:val="826"/>
    <w:uiPriority w:val="99"/>
    <w:semiHidden/>
    <w:unhideWhenUsed/>
    <w:pPr>
      <w:spacing w:after="40" w:line="240" w:lineRule="auto"/>
    </w:pPr>
    <w:rPr>
      <w:sz w:val="18"/>
    </w:rPr>
  </w:style>
  <w:style w:type="character" w:styleId="826">
    <w:name w:val="Footnote Text Char"/>
    <w:link w:val="825"/>
    <w:uiPriority w:val="99"/>
    <w:rPr>
      <w:sz w:val="18"/>
    </w:rPr>
  </w:style>
  <w:style w:type="character" w:styleId="827">
    <w:name w:val="footnote reference"/>
    <w:basedOn w:val="843"/>
    <w:uiPriority w:val="99"/>
    <w:unhideWhenUsed/>
    <w:rPr>
      <w:vertAlign w:val="superscript"/>
    </w:rPr>
  </w:style>
  <w:style w:type="paragraph" w:styleId="828">
    <w:name w:val="endnote text"/>
    <w:basedOn w:val="842"/>
    <w:link w:val="829"/>
    <w:uiPriority w:val="99"/>
    <w:semiHidden/>
    <w:unhideWhenUsed/>
    <w:pPr>
      <w:spacing w:after="0" w:line="240" w:lineRule="auto"/>
    </w:pPr>
    <w:rPr>
      <w:sz w:val="20"/>
    </w:rPr>
  </w:style>
  <w:style w:type="character" w:styleId="829">
    <w:name w:val="Endnote Text Char"/>
    <w:link w:val="828"/>
    <w:uiPriority w:val="99"/>
    <w:rPr>
      <w:sz w:val="20"/>
    </w:rPr>
  </w:style>
  <w:style w:type="character" w:styleId="830">
    <w:name w:val="endnote reference"/>
    <w:basedOn w:val="843"/>
    <w:uiPriority w:val="99"/>
    <w:semiHidden/>
    <w:unhideWhenUsed/>
    <w:rPr>
      <w:vertAlign w:val="superscript"/>
    </w:rPr>
  </w:style>
  <w:style w:type="paragraph" w:styleId="831">
    <w:name w:val="toc 1"/>
    <w:basedOn w:val="842"/>
    <w:next w:val="842"/>
    <w:uiPriority w:val="39"/>
    <w:unhideWhenUsed/>
    <w:pPr>
      <w:ind w:left="0" w:right="0" w:firstLine="0"/>
      <w:spacing w:after="57"/>
    </w:pPr>
  </w:style>
  <w:style w:type="paragraph" w:styleId="832">
    <w:name w:val="toc 2"/>
    <w:basedOn w:val="842"/>
    <w:next w:val="842"/>
    <w:uiPriority w:val="39"/>
    <w:unhideWhenUsed/>
    <w:pPr>
      <w:ind w:left="283" w:right="0" w:firstLine="0"/>
      <w:spacing w:after="57"/>
    </w:pPr>
  </w:style>
  <w:style w:type="paragraph" w:styleId="833">
    <w:name w:val="toc 3"/>
    <w:basedOn w:val="842"/>
    <w:next w:val="842"/>
    <w:uiPriority w:val="39"/>
    <w:unhideWhenUsed/>
    <w:pPr>
      <w:ind w:left="567" w:right="0" w:firstLine="0"/>
      <w:spacing w:after="57"/>
    </w:pPr>
  </w:style>
  <w:style w:type="paragraph" w:styleId="834">
    <w:name w:val="toc 4"/>
    <w:basedOn w:val="842"/>
    <w:next w:val="842"/>
    <w:uiPriority w:val="39"/>
    <w:unhideWhenUsed/>
    <w:pPr>
      <w:ind w:left="850" w:right="0" w:firstLine="0"/>
      <w:spacing w:after="57"/>
    </w:pPr>
  </w:style>
  <w:style w:type="paragraph" w:styleId="835">
    <w:name w:val="toc 5"/>
    <w:basedOn w:val="842"/>
    <w:next w:val="842"/>
    <w:uiPriority w:val="39"/>
    <w:unhideWhenUsed/>
    <w:pPr>
      <w:ind w:left="1134" w:right="0" w:firstLine="0"/>
      <w:spacing w:after="57"/>
    </w:pPr>
  </w:style>
  <w:style w:type="paragraph" w:styleId="836">
    <w:name w:val="toc 6"/>
    <w:basedOn w:val="842"/>
    <w:next w:val="842"/>
    <w:uiPriority w:val="39"/>
    <w:unhideWhenUsed/>
    <w:pPr>
      <w:ind w:left="1417" w:right="0" w:firstLine="0"/>
      <w:spacing w:after="57"/>
    </w:pPr>
  </w:style>
  <w:style w:type="paragraph" w:styleId="837">
    <w:name w:val="toc 7"/>
    <w:basedOn w:val="842"/>
    <w:next w:val="842"/>
    <w:uiPriority w:val="39"/>
    <w:unhideWhenUsed/>
    <w:pPr>
      <w:ind w:left="1701" w:right="0" w:firstLine="0"/>
      <w:spacing w:after="57"/>
    </w:pPr>
  </w:style>
  <w:style w:type="paragraph" w:styleId="838">
    <w:name w:val="toc 8"/>
    <w:basedOn w:val="842"/>
    <w:next w:val="842"/>
    <w:uiPriority w:val="39"/>
    <w:unhideWhenUsed/>
    <w:pPr>
      <w:ind w:left="1984" w:right="0" w:firstLine="0"/>
      <w:spacing w:after="57"/>
    </w:pPr>
  </w:style>
  <w:style w:type="paragraph" w:styleId="839">
    <w:name w:val="toc 9"/>
    <w:basedOn w:val="842"/>
    <w:next w:val="842"/>
    <w:uiPriority w:val="39"/>
    <w:unhideWhenUsed/>
    <w:pPr>
      <w:ind w:left="2268" w:right="0" w:firstLine="0"/>
      <w:spacing w:after="57"/>
    </w:pPr>
  </w:style>
  <w:style w:type="paragraph" w:styleId="840">
    <w:name w:val="TOC Heading"/>
    <w:uiPriority w:val="39"/>
    <w:unhideWhenUsed/>
  </w:style>
  <w:style w:type="paragraph" w:styleId="841">
    <w:name w:val="table of figures"/>
    <w:basedOn w:val="842"/>
    <w:next w:val="842"/>
    <w:uiPriority w:val="99"/>
    <w:unhideWhenUsed/>
    <w:pPr>
      <w:spacing w:after="0" w:afterAutospacing="0"/>
    </w:pPr>
  </w:style>
  <w:style w:type="paragraph" w:styleId="842" w:default="1">
    <w:name w:val="Normal"/>
    <w:qFormat/>
    <w:pPr>
      <w:spacing w:before="100" w:after="100"/>
    </w:pPr>
    <w:rPr>
      <w:rFonts w:ascii="Times New Roman" w:hAnsi="Times New Roman" w:eastAsia="Arial" w:cs="Courier New"/>
      <w:sz w:val="24"/>
      <w:szCs w:val="24"/>
    </w:rPr>
  </w:style>
  <w:style w:type="character" w:styleId="843" w:default="1">
    <w:name w:val="Default Paragraph Font"/>
    <w:uiPriority w:val="1"/>
    <w:semiHidden/>
    <w:unhideWhenUsed/>
  </w:style>
  <w:style w:type="table" w:styleId="84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5" w:default="1">
    <w:name w:val="No List"/>
    <w:uiPriority w:val="99"/>
    <w:semiHidden/>
    <w:unhideWhenUsed/>
  </w:style>
  <w:style w:type="character" w:styleId="846" w:customStyle="1">
    <w:name w:val="Текст выноски Знак"/>
    <w:basedOn w:val="843"/>
    <w:uiPriority w:val="99"/>
    <w:semiHidden/>
    <w:qFormat/>
    <w:rPr>
      <w:rFonts w:ascii="Tahoma" w:hAnsi="Tahoma" w:eastAsia="Times New Roman" w:cs="Mangal"/>
      <w:color w:val="000000"/>
      <w:sz w:val="16"/>
      <w:szCs w:val="14"/>
      <w:lang w:eastAsia="ru-RU" w:bidi="hi-IN"/>
    </w:rPr>
  </w:style>
  <w:style w:type="character" w:styleId="847" w:customStyle="1">
    <w:name w:val="Верхний колонтитул Знак"/>
    <w:basedOn w:val="843"/>
    <w:uiPriority w:val="99"/>
    <w:qFormat/>
    <w:rPr>
      <w:rFonts w:ascii="Times New Roman" w:hAnsi="Times New Roman" w:eastAsia="Times New Roman" w:cs="Mangal"/>
      <w:color w:val="000000"/>
      <w:sz w:val="24"/>
      <w:szCs w:val="21"/>
      <w:lang w:eastAsia="ru-RU" w:bidi="hi-IN"/>
    </w:rPr>
  </w:style>
  <w:style w:type="character" w:styleId="848" w:customStyle="1">
    <w:name w:val="Нижний колонтитул Знак"/>
    <w:basedOn w:val="843"/>
    <w:uiPriority w:val="99"/>
    <w:qFormat/>
    <w:rPr>
      <w:rFonts w:ascii="Times New Roman" w:hAnsi="Times New Roman" w:eastAsia="Times New Roman" w:cs="Mangal"/>
      <w:color w:val="000000"/>
      <w:sz w:val="24"/>
      <w:szCs w:val="21"/>
      <w:lang w:eastAsia="ru-RU" w:bidi="hi-IN"/>
    </w:rPr>
  </w:style>
  <w:style w:type="character" w:styleId="849" w:customStyle="1">
    <w:name w:val="ListLabel 1"/>
    <w:qFormat/>
    <w:rPr>
      <w:rFonts w:ascii="Times New Roman" w:hAnsi="Times New Roman" w:cs="Times New Roman"/>
      <w:sz w:val="28"/>
      <w:szCs w:val="28"/>
    </w:rPr>
  </w:style>
  <w:style w:type="character" w:styleId="850" w:customStyle="1">
    <w:name w:val="Интернет-ссылка"/>
    <w:rPr>
      <w:color w:val="000080"/>
      <w:u w:val="single"/>
    </w:rPr>
  </w:style>
  <w:style w:type="character" w:styleId="851" w:customStyle="1">
    <w:name w:val="ListLabel 2"/>
    <w:qFormat/>
    <w:rPr>
      <w:rFonts w:cs="Times New Roman" w:eastAsiaTheme="minorEastAsia"/>
      <w:color w:val="000000" w:themeColor="text1"/>
      <w:sz w:val="28"/>
      <w:szCs w:val="28"/>
    </w:rPr>
  </w:style>
  <w:style w:type="character" w:styleId="852" w:customStyle="1">
    <w:name w:val="ListLabel 3"/>
    <w:qFormat/>
    <w:rPr>
      <w:rFonts w:ascii="Times New Roman" w:hAnsi="Times New Roman" w:cs="Times New Roman"/>
      <w:sz w:val="28"/>
      <w:szCs w:val="28"/>
    </w:rPr>
  </w:style>
  <w:style w:type="character" w:styleId="853" w:customStyle="1">
    <w:name w:val="ListLabel 4"/>
    <w:qFormat/>
    <w:rPr>
      <w:rFonts w:cs="Times New Roman" w:eastAsiaTheme="minorEastAsia"/>
      <w:color w:val="000000" w:themeColor="text1"/>
      <w:sz w:val="28"/>
      <w:szCs w:val="28"/>
    </w:rPr>
  </w:style>
  <w:style w:type="character" w:styleId="854" w:customStyle="1">
    <w:name w:val="CITE"/>
    <w:qFormat/>
    <w:rPr>
      <w:i/>
    </w:rPr>
  </w:style>
  <w:style w:type="character" w:styleId="855" w:customStyle="1">
    <w:name w:val="CODE"/>
    <w:qFormat/>
    <w:rPr>
      <w:rFonts w:ascii="Courier New" w:hAnsi="Courier New"/>
      <w:sz w:val="20"/>
    </w:rPr>
  </w:style>
  <w:style w:type="character" w:styleId="856">
    <w:name w:val="FollowedHyperlink"/>
    <w:qFormat/>
    <w:rPr>
      <w:color w:val="800080"/>
      <w:u w:val="single"/>
    </w:rPr>
  </w:style>
  <w:style w:type="character" w:styleId="857" w:customStyle="1">
    <w:name w:val="Keyboard"/>
    <w:qFormat/>
    <w:rPr>
      <w:rFonts w:ascii="Courier New" w:hAnsi="Courier New"/>
      <w:b/>
      <w:sz w:val="20"/>
    </w:rPr>
  </w:style>
  <w:style w:type="character" w:styleId="858" w:customStyle="1">
    <w:name w:val="Sample"/>
    <w:qFormat/>
    <w:rPr>
      <w:rFonts w:ascii="Courier New" w:hAnsi="Courier New"/>
    </w:rPr>
  </w:style>
  <w:style w:type="character" w:styleId="859">
    <w:name w:val="Strong"/>
    <w:qFormat/>
    <w:rPr>
      <w:b/>
    </w:rPr>
  </w:style>
  <w:style w:type="character" w:styleId="860" w:customStyle="1">
    <w:name w:val="Typewriter"/>
    <w:qFormat/>
    <w:rPr>
      <w:rFonts w:ascii="Courier New" w:hAnsi="Courier New"/>
      <w:sz w:val="20"/>
    </w:rPr>
  </w:style>
  <w:style w:type="character" w:styleId="861" w:customStyle="1">
    <w:name w:val="HTML Markup"/>
    <w:qFormat/>
    <w:rPr>
      <w:vanish/>
      <w:color w:val="ff0000"/>
    </w:rPr>
  </w:style>
  <w:style w:type="character" w:styleId="862" w:customStyle="1">
    <w:name w:val="Comment"/>
    <w:qFormat/>
    <w:rPr>
      <w:vanish/>
    </w:rPr>
  </w:style>
  <w:style w:type="paragraph" w:styleId="863" w:customStyle="1">
    <w:name w:val="Заголовок1"/>
    <w:basedOn w:val="842"/>
    <w:next w:val="864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864">
    <w:name w:val="Body Text"/>
    <w:basedOn w:val="842"/>
    <w:pPr>
      <w:spacing w:before="0" w:after="140" w:line="276" w:lineRule="auto"/>
    </w:pPr>
  </w:style>
  <w:style w:type="paragraph" w:styleId="865">
    <w:name w:val="List"/>
    <w:basedOn w:val="864"/>
    <w:rPr>
      <w:rFonts w:cs="Arial"/>
    </w:rPr>
  </w:style>
  <w:style w:type="paragraph" w:styleId="866">
    <w:name w:val="Caption"/>
    <w:basedOn w:val="842"/>
    <w:qFormat/>
    <w:pPr>
      <w:spacing w:before="120" w:after="120"/>
      <w:suppressLineNumbers/>
    </w:pPr>
    <w:rPr>
      <w:rFonts w:cs="Arial"/>
      <w:i/>
      <w:iCs/>
    </w:rPr>
  </w:style>
  <w:style w:type="paragraph" w:styleId="867">
    <w:name w:val="index heading"/>
    <w:basedOn w:val="842"/>
    <w:qFormat/>
    <w:pPr>
      <w:suppressLineNumbers/>
    </w:pPr>
    <w:rPr>
      <w:rFonts w:cs="Arial"/>
    </w:rPr>
  </w:style>
  <w:style w:type="paragraph" w:styleId="868" w:customStyle="1">
    <w:name w:val="Содержимое врезки"/>
    <w:basedOn w:val="842"/>
    <w:qFormat/>
  </w:style>
  <w:style w:type="paragraph" w:styleId="869" w:customStyle="1">
    <w:name w:val="Обычный1"/>
    <w:qFormat/>
    <w:rPr>
      <w:rFonts w:ascii="Times New Roman" w:hAnsi="Times New Roman" w:eastAsia="Times New Roman" w:cs="Times New Roman"/>
      <w:color w:val="00000a"/>
      <w:sz w:val="24"/>
      <w:szCs w:val="20"/>
      <w:lang w:eastAsia="zh-CN"/>
    </w:rPr>
  </w:style>
  <w:style w:type="paragraph" w:styleId="870">
    <w:name w:val="Balloon Text"/>
    <w:basedOn w:val="842"/>
    <w:uiPriority w:val="99"/>
    <w:semiHidden/>
    <w:unhideWhenUsed/>
    <w:qFormat/>
    <w:rPr>
      <w:rFonts w:ascii="Tahoma" w:hAnsi="Tahoma" w:cs="Mangal"/>
      <w:sz w:val="16"/>
      <w:szCs w:val="14"/>
    </w:rPr>
  </w:style>
  <w:style w:type="paragraph" w:styleId="871" w:customStyle="1">
    <w:name w:val="ConsPlusNormal"/>
    <w:link w:val="891"/>
    <w:qFormat/>
    <w:pPr>
      <w:widowControl w:val="off"/>
    </w:pPr>
    <w:rPr>
      <w:rFonts w:eastAsia="Times New Roman" w:cs="Calibri"/>
      <w:sz w:val="24"/>
      <w:szCs w:val="20"/>
      <w:lang w:eastAsia="ru-RU"/>
    </w:rPr>
  </w:style>
  <w:style w:type="paragraph" w:styleId="872">
    <w:name w:val="Header"/>
    <w:basedOn w:val="842"/>
    <w:uiPriority w:val="99"/>
    <w:unhideWhenUsed/>
    <w:pPr>
      <w:tabs>
        <w:tab w:val="center" w:pos="4677" w:leader="none"/>
        <w:tab w:val="right" w:pos="9355" w:leader="none"/>
      </w:tabs>
    </w:pPr>
    <w:rPr>
      <w:rFonts w:cs="Mangal"/>
      <w:szCs w:val="21"/>
    </w:rPr>
  </w:style>
  <w:style w:type="paragraph" w:styleId="873">
    <w:name w:val="Footer"/>
    <w:basedOn w:val="842"/>
    <w:uiPriority w:val="99"/>
    <w:unhideWhenUsed/>
    <w:pPr>
      <w:tabs>
        <w:tab w:val="center" w:pos="4677" w:leader="none"/>
        <w:tab w:val="right" w:pos="9355" w:leader="none"/>
      </w:tabs>
    </w:pPr>
    <w:rPr>
      <w:rFonts w:cs="Mangal"/>
      <w:szCs w:val="21"/>
    </w:rPr>
  </w:style>
  <w:style w:type="paragraph" w:styleId="874" w:customStyle="1">
    <w:name w:val="ConsPlusNonformat"/>
    <w:uiPriority w:val="99"/>
    <w:qFormat/>
    <w:pPr>
      <w:widowControl w:val="off"/>
    </w:pPr>
    <w:rPr>
      <w:rFonts w:ascii="Courier New" w:hAnsi="Courier New" w:eastAsia="Times New Roman" w:cs="Courier New"/>
      <w:sz w:val="24"/>
      <w:szCs w:val="20"/>
      <w:lang w:eastAsia="zh-CN"/>
    </w:rPr>
  </w:style>
  <w:style w:type="paragraph" w:styleId="875">
    <w:name w:val="List Paragraph"/>
    <w:basedOn w:val="842"/>
    <w:qFormat/>
    <w:pPr>
      <w:contextualSpacing/>
      <w:ind w:left="720" w:firstLine="709"/>
      <w:jc w:val="both"/>
      <w:spacing w:before="240" w:after="0" w:line="360" w:lineRule="auto"/>
    </w:pPr>
    <w:rPr>
      <w:rFonts w:eastAsia="Calibri"/>
      <w:sz w:val="28"/>
      <w:szCs w:val="28"/>
    </w:rPr>
  </w:style>
  <w:style w:type="paragraph" w:styleId="876" w:customStyle="1">
    <w:name w:val="Definition Term"/>
    <w:basedOn w:val="842"/>
    <w:qFormat/>
  </w:style>
  <w:style w:type="paragraph" w:styleId="877" w:customStyle="1">
    <w:name w:val="Definition List"/>
    <w:basedOn w:val="842"/>
    <w:qFormat/>
    <w:pPr>
      <w:ind w:left="360"/>
    </w:pPr>
  </w:style>
  <w:style w:type="paragraph" w:styleId="878" w:customStyle="1">
    <w:name w:val="H1"/>
    <w:basedOn w:val="842"/>
    <w:qFormat/>
    <w:pPr>
      <w:keepNext/>
      <w:outlineLvl w:val="1"/>
    </w:pPr>
    <w:rPr>
      <w:b/>
      <w:sz w:val="48"/>
    </w:rPr>
  </w:style>
  <w:style w:type="paragraph" w:styleId="879" w:customStyle="1">
    <w:name w:val="H2"/>
    <w:basedOn w:val="842"/>
    <w:qFormat/>
    <w:pPr>
      <w:keepNext/>
      <w:outlineLvl w:val="2"/>
    </w:pPr>
    <w:rPr>
      <w:b/>
      <w:sz w:val="36"/>
    </w:rPr>
  </w:style>
  <w:style w:type="paragraph" w:styleId="880" w:customStyle="1">
    <w:name w:val="H3"/>
    <w:basedOn w:val="842"/>
    <w:qFormat/>
    <w:pPr>
      <w:keepNext/>
      <w:outlineLvl w:val="3"/>
    </w:pPr>
    <w:rPr>
      <w:b/>
      <w:sz w:val="28"/>
    </w:rPr>
  </w:style>
  <w:style w:type="paragraph" w:styleId="881" w:customStyle="1">
    <w:name w:val="H4"/>
    <w:basedOn w:val="842"/>
    <w:qFormat/>
    <w:pPr>
      <w:keepNext/>
      <w:outlineLvl w:val="4"/>
    </w:pPr>
    <w:rPr>
      <w:b/>
    </w:rPr>
  </w:style>
  <w:style w:type="paragraph" w:styleId="882" w:customStyle="1">
    <w:name w:val="H5"/>
    <w:basedOn w:val="842"/>
    <w:qFormat/>
    <w:pPr>
      <w:keepNext/>
      <w:outlineLvl w:val="5"/>
    </w:pPr>
    <w:rPr>
      <w:b/>
      <w:sz w:val="20"/>
    </w:rPr>
  </w:style>
  <w:style w:type="paragraph" w:styleId="883" w:customStyle="1">
    <w:name w:val="H6"/>
    <w:basedOn w:val="842"/>
    <w:qFormat/>
    <w:pPr>
      <w:keepNext/>
      <w:outlineLvl w:val="6"/>
    </w:pPr>
    <w:rPr>
      <w:b/>
      <w:sz w:val="16"/>
    </w:rPr>
  </w:style>
  <w:style w:type="paragraph" w:styleId="884" w:customStyle="1">
    <w:name w:val="Address"/>
    <w:basedOn w:val="842"/>
    <w:qFormat/>
    <w:rPr>
      <w:i/>
    </w:rPr>
  </w:style>
  <w:style w:type="paragraph" w:styleId="885" w:customStyle="1">
    <w:name w:val="Blockquote"/>
    <w:basedOn w:val="842"/>
    <w:qFormat/>
    <w:pPr>
      <w:ind w:left="360" w:right="360"/>
    </w:pPr>
  </w:style>
  <w:style w:type="paragraph" w:styleId="886" w:customStyle="1">
    <w:name w:val="Preformatted"/>
    <w:basedOn w:val="842"/>
    <w:qFormat/>
    <w:pPr>
      <w:spacing w:before="0" w:after="0"/>
      <w:tabs>
        <w:tab w:val="left" w:pos="0" w:leader="none"/>
        <w:tab w:val="left" w:pos="959" w:leader="none"/>
        <w:tab w:val="left" w:pos="1918" w:leader="none"/>
        <w:tab w:val="left" w:pos="2877" w:leader="none"/>
        <w:tab w:val="left" w:pos="3836" w:leader="none"/>
        <w:tab w:val="left" w:pos="4795" w:leader="none"/>
        <w:tab w:val="left" w:pos="5754" w:leader="none"/>
        <w:tab w:val="left" w:pos="6713" w:leader="none"/>
        <w:tab w:val="left" w:pos="7672" w:leader="none"/>
        <w:tab w:val="left" w:pos="8631" w:leader="none"/>
        <w:tab w:val="left" w:pos="9590" w:leader="none"/>
      </w:tabs>
    </w:pPr>
    <w:rPr>
      <w:rFonts w:ascii="Courier New" w:hAnsi="Courier New"/>
      <w:sz w:val="20"/>
    </w:rPr>
  </w:style>
  <w:style w:type="paragraph" w:styleId="887" w:customStyle="1">
    <w:name w:val="z-Bottom of Form"/>
    <w:qFormat/>
    <w:pPr>
      <w:jc w:val="center"/>
      <w:pBdr>
        <w:top w:val="single" w:color="000000" w:sz="2" w:space="0"/>
      </w:pBdr>
    </w:pPr>
    <w:rPr>
      <w:rFonts w:ascii="Arial" w:hAnsi="Arial" w:eastAsia="Arial" w:cs="Courier New"/>
      <w:vanish/>
      <w:sz w:val="16"/>
      <w:szCs w:val="24"/>
    </w:rPr>
  </w:style>
  <w:style w:type="paragraph" w:styleId="888" w:customStyle="1">
    <w:name w:val="z-Top of Form"/>
    <w:qFormat/>
    <w:pPr>
      <w:jc w:val="center"/>
      <w:pBdr>
        <w:bottom w:val="single" w:color="000000" w:sz="2" w:space="0"/>
      </w:pBdr>
    </w:pPr>
    <w:rPr>
      <w:rFonts w:ascii="Arial" w:hAnsi="Arial" w:eastAsia="Arial" w:cs="Courier New"/>
      <w:vanish/>
      <w:sz w:val="16"/>
      <w:szCs w:val="24"/>
    </w:rPr>
  </w:style>
  <w:style w:type="paragraph" w:styleId="889" w:customStyle="1">
    <w:name w:val="Абзац списка1"/>
    <w:basedOn w:val="842"/>
    <w:pPr>
      <w:contextualSpacing/>
      <w:ind w:left="720"/>
      <w:spacing w:before="0" w:after="0"/>
    </w:pPr>
    <w:rPr>
      <w:rFonts w:eastAsia="Times New Roman" w:cs="Times New Roman"/>
      <w:lang w:eastAsia="zh-CN"/>
    </w:rPr>
  </w:style>
  <w:style w:type="paragraph" w:styleId="890" w:customStyle="1">
    <w:name w:val="ConsPlusTitle"/>
    <w:uiPriority w:val="99"/>
    <w:pPr>
      <w:widowControl w:val="off"/>
    </w:pPr>
    <w:rPr>
      <w:rFonts w:ascii="Arial" w:hAnsi="Arial" w:cs="Arial" w:eastAsiaTheme="minorEastAsia"/>
      <w:b/>
      <w:bCs/>
      <w:sz w:val="24"/>
      <w:szCs w:val="24"/>
      <w:lang w:eastAsia="ru-RU"/>
    </w:rPr>
  </w:style>
  <w:style w:type="character" w:styleId="891" w:customStyle="1">
    <w:name w:val="ConsPlusNormal Знак"/>
    <w:link w:val="871"/>
    <w:rPr>
      <w:rFonts w:eastAsia="Times New Roman" w:cs="Calibri"/>
      <w:sz w:val="24"/>
      <w:szCs w:val="20"/>
      <w:lang w:eastAsia="ru-RU"/>
    </w:rPr>
  </w:style>
  <w:style w:type="character" w:styleId="892" w:customStyle="1">
    <w:name w:val="section-title"/>
    <w:qFormat/>
  </w:style>
  <w:style w:type="character" w:styleId="893" w:customStyle="1">
    <w:name w:val="markedcontent"/>
  </w:style>
  <w:style w:type="character" w:styleId="894" w:customStyle="1">
    <w:name w:val="ListLabel 23"/>
    <w:qFormat/>
    <w:rPr>
      <w:rFonts w:ascii="Times New Roman" w:hAnsi="Times New Roman" w:cs="Times New Roman"/>
      <w:sz w:val="20"/>
      <w:szCs w:val="28"/>
      <w:lang w:val="en-US"/>
    </w:rPr>
  </w:style>
  <w:style w:type="table" w:styleId="895">
    <w:name w:val="Table Grid"/>
    <w:basedOn w:val="844"/>
    <w:uiPriority w:val="39"/>
    <w:rPr>
      <w:sz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96">
    <w:name w:val="Hyperlink"/>
    <w:basedOn w:val="843"/>
    <w:uiPriority w:val="99"/>
    <w:semiHidden/>
    <w:unhideWhenUsed/>
    <w:rPr>
      <w:color w:val="0000ff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6BBB4-36E0-46B9-91C5-CB5520241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Р7-Офис/7.3.3.220</Application>
  <Company>MyCompany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SilinAL</dc:creator>
  <dc:description/>
  <dc:language>ru-RU</dc:language>
  <cp:revision>64</cp:revision>
  <dcterms:created xsi:type="dcterms:W3CDTF">2019-10-25T07:48:00Z</dcterms:created>
  <dcterms:modified xsi:type="dcterms:W3CDTF">2024-08-14T11:21:02Z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MyCompany</vt:lpwstr>
  </property>
  <property fmtid="{D5CDD505-2E9C-101B-9397-08002B2CF9AE}" pid="4" name="DocSecurity">
    <vt:i4>0</vt:i4>
  </property>
  <property fmtid="{D5CDD505-2E9C-101B-9397-08002B2CF9AE}" pid="5" name="DocumentEncoding">
    <vt:lpwstr>utf-8</vt:lpwstr>
  </property>
  <property fmtid="{D5CDD505-2E9C-101B-9397-08002B2CF9AE}" pid="6" name="HTML">
    <vt:bool>true</vt:bool>
  </property>
  <property fmtid="{D5CDD505-2E9C-101B-9397-08002B2CF9AE}" pid="7" name="HyperlinksChanged">
    <vt:bool>false</vt:bool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